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A2" w:rsidRDefault="00424BA2" w:rsidP="00424BA2">
      <w:pPr>
        <w:keepNext/>
        <w:tabs>
          <w:tab w:val="left" w:pos="1843"/>
          <w:tab w:val="left" w:pos="2694"/>
        </w:tabs>
        <w:spacing w:after="0" w:line="240" w:lineRule="auto"/>
        <w:outlineLvl w:val="7"/>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p>
    <w:p w:rsidR="00424BA2" w:rsidRDefault="00424BA2" w:rsidP="00424BA2">
      <w:pPr>
        <w:keepNext/>
        <w:tabs>
          <w:tab w:val="left" w:pos="1843"/>
          <w:tab w:val="left" w:pos="2694"/>
        </w:tabs>
        <w:spacing w:after="0" w:line="240" w:lineRule="auto"/>
        <w:outlineLvl w:val="7"/>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МУНИЦИПАЛЬНОГО ОБРАЗОВАНИЯ</w:t>
      </w:r>
    </w:p>
    <w:p w:rsidR="00424BA2" w:rsidRDefault="00424BA2" w:rsidP="00424BA2">
      <w:pPr>
        <w:keepNext/>
        <w:tabs>
          <w:tab w:val="left" w:pos="1843"/>
          <w:tab w:val="left" w:pos="2694"/>
        </w:tabs>
        <w:spacing w:after="0" w:line="240" w:lineRule="auto"/>
        <w:outlineLvl w:val="7"/>
        <w:rPr>
          <w:rFonts w:ascii="Times New Roman" w:eastAsia="Times New Roman" w:hAnsi="Times New Roman"/>
          <w:b/>
          <w:bCs/>
          <w:sz w:val="28"/>
          <w:szCs w:val="28"/>
          <w:lang w:eastAsia="ru-RU"/>
        </w:rPr>
      </w:pPr>
    </w:p>
    <w:p w:rsidR="00424BA2" w:rsidRDefault="00424BA2" w:rsidP="00424BA2">
      <w:pPr>
        <w:keepNext/>
        <w:tabs>
          <w:tab w:val="left" w:pos="1843"/>
          <w:tab w:val="left" w:pos="2694"/>
        </w:tabs>
        <w:spacing w:after="0" w:line="240" w:lineRule="auto"/>
        <w:outlineLvl w:val="7"/>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СТАРОБЕЛОГОРСКИЙ СЕЛЬСОВЕТ</w:t>
      </w: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p>
    <w:p w:rsidR="00424BA2" w:rsidRDefault="00424BA2" w:rsidP="00424BA2">
      <w:pPr>
        <w:tabs>
          <w:tab w:val="left" w:pos="1843"/>
          <w:tab w:val="left" w:pos="2694"/>
        </w:tabs>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НОВОСЕРГИЕВСКОГО РАЙОНА</w:t>
      </w:r>
    </w:p>
    <w:p w:rsidR="00424BA2" w:rsidRDefault="00424BA2" w:rsidP="00424BA2">
      <w:pPr>
        <w:tabs>
          <w:tab w:val="left" w:pos="1843"/>
          <w:tab w:val="left" w:pos="2694"/>
        </w:tabs>
        <w:spacing w:after="0" w:line="240" w:lineRule="auto"/>
        <w:rPr>
          <w:rFonts w:ascii="Times New Roman" w:eastAsia="Times New Roman" w:hAnsi="Times New Roman"/>
          <w:b/>
          <w:bCs/>
          <w:sz w:val="28"/>
          <w:szCs w:val="28"/>
          <w:lang w:eastAsia="ru-RU"/>
        </w:rPr>
      </w:pP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ОРЕНБУРГСКОЙ ОБЛАСТИ</w:t>
      </w: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ПОСТАНОВЛЕНИЕ</w:t>
      </w: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18 февраля 2020 год  №  07-п. </w:t>
      </w:r>
    </w:p>
    <w:p w:rsidR="00424BA2" w:rsidRDefault="00424BA2" w:rsidP="00424BA2">
      <w:pPr>
        <w:tabs>
          <w:tab w:val="left" w:pos="1843"/>
          <w:tab w:val="left" w:pos="269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 Старобелогорка</w:t>
      </w:r>
    </w:p>
    <w:p w:rsidR="00424BA2" w:rsidRDefault="00424BA2" w:rsidP="00424BA2">
      <w:pPr>
        <w:autoSpaceDE w:val="0"/>
        <w:autoSpaceDN w:val="0"/>
        <w:adjustRightInd w:val="0"/>
        <w:spacing w:after="0" w:line="240" w:lineRule="auto"/>
        <w:ind w:firstLine="709"/>
        <w:rPr>
          <w:rFonts w:ascii="Times New Roman" w:hAnsi="Times New Roman"/>
          <w:sz w:val="28"/>
          <w:szCs w:val="28"/>
        </w:rPr>
      </w:pP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мерах по реализации решения </w:t>
      </w: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Совета депутатов от 16.12.2019 № 53/1 р. С. </w:t>
      </w: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бюджете муниципального образования</w:t>
      </w: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Старобелогорский сельсовет  на 2020 год и на плановый </w:t>
      </w: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период 2021 и 2022 годы»</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Решения Совета депутатов от 16.12.2019 г.  № 53/1 р. С. «О бюджете муниципального образования Старобелогорский сельсовет Новосергиевского района Оренбургской области на 2020 год и на плановый период 2021 и 2022 годов»:</w:t>
      </w: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Принять к исполнению бюджет сельского поселения на 2020 год и на плановый период 2021 и 2022 годов»:</w:t>
      </w: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Установить, что исполнение бюджета сельского поселения осуществляется в соответствии со сводной бюджетной росписью, утвержденными лимитами бюджетных обязательств, кассовым планом. </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Специалисту 1 категории – Троховой Н.Н., Специалисту 1 категории – Дубковой Г.А.  проводить постоянную работу с налогоплательщиками – юридическими лицами с целью обеспечения ими своевременных расчетов по платежам в бюджет.</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Рекомендовать Инспекции Федеральной налоговой службы по Новосергиевскому району (Н.В. Арбузова):</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Активизировать работу по взысканию задолженности налогоплательщиков по налогам и сборам в бюджетную систему Российской Федерации с применением полного комплекса мер, предусмотренных Налоговым кодексом Российской Федерации;</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Принять меры по обеспечению поступлений в бюджет налогов, сборов и других обязательных платежей, а также сокращению задолженности по их </w:t>
      </w:r>
      <w:r>
        <w:rPr>
          <w:rFonts w:ascii="Times New Roman" w:hAnsi="Times New Roman"/>
          <w:sz w:val="28"/>
          <w:szCs w:val="28"/>
        </w:rPr>
        <w:lastRenderedPageBreak/>
        <w:t>уплате;</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424BA2" w:rsidRDefault="00424BA2" w:rsidP="00424B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Не допускать принятие бюджетных обязательств на 2020 год, возникающих из государственных контрактов на выполнение работ, оказание услуг, условием которых предусматривается выполнение работ или оказание услуг (их этапов) продолжительностью более одного месяца, если государственные контракты не заключены в установленном порядке до 1 декабря 2020 года.</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Обеспечить:</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анализа дебиторской задолженности, сложившейся по состоянию на 1 января 2020 года, и представление данных проведенного анализа в финансовый отдел администрации Новосергиевского района не позднее 1 февраля 2020 года;</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принятие мер, направленных на сокращение дебиторской задолженности;</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Федеральных законов от 5 апреля 2013 года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услуг отдельными видами юридических лиц»;</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эффективность, результативность, адресность и целевой характер при использовании бюджетных средств;</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контроль за целевым и эффективным расходованием бюджетных средств;</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установленного порядка (сроков) внесения предложений, направленных на уточнение сводной бюджетной росписи, кассового плана исполнения  бюджета сельского поселения, порядка ведения бюджетной росписи главного распорядителя бюджетных средств;</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нормативных правовых актов Российской Федерации, Оренбургской области и Новосергиевского района в части повышения заработной платы работникам бюджетной сферы;</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преемственность показателей, предусмотренных в государственных программах Российской Федерации и Оренбургской области в случае реализации мероприятий муниципальных программ МО Старобелогорский сельсовет Новосергиевского района за счет средств федерального и областного бюджетов;</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в полном объеме показателей, предусмотренных муниципальными программами МО Старобелогорский  сельсовет Новосергиевского района;</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первоочередном порядке выплату заработной платы, оплату коммунальных услуг, исполнение публичных нормативных обязательств, </w:t>
      </w:r>
      <w:r>
        <w:rPr>
          <w:rFonts w:ascii="Times New Roman" w:hAnsi="Times New Roman"/>
          <w:sz w:val="28"/>
          <w:szCs w:val="28"/>
        </w:rPr>
        <w:lastRenderedPageBreak/>
        <w:t xml:space="preserve">уплату налогов; </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Установить, что:</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Заключение  и оплата  договоров и  муниципальных контрактов, исполнение которых осуществляется за счет средств местного бюджета, производятся в пределах  утвержденных     лимитов   бюджетных  обязательств   с  учетом   ранее принятых, но не исполненных обязательств.</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При   заключении   договоров (муниципальных контрактов) на поставку товаров, выполнение работ, оказание услуг предусматривать    авансовые    платежи, если     иное     не    установлено законодательством Российской Федерации в размере:</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на оказание услуг связи; подписку на печатные издания и их приобретение; обучение на курсах повышения квалификации; участие в научных, методических, научно-практических и иных конференциях и семинарах; приобретение авиа- и железнодорожных билетов, билетов для проезда городским и пригородным транспортом, путевок на санаторно-курортное лечение и отдых детей; оплату расходов на проезд, проживание, питание, суточные, медико-биологическое обеспечение, оплату взноса на участие при направлении на различного рода мероприятия (в том числе соревнования, учебно-тренировочные сборы, фестивали, конкурсы, олимпиады) студентов (учащихся), а также сопровождающих их лиц, спортсменов, тренеров, спортивных судей, не являющихся штатными сотрудниками направляющего их учреждения; расходов по договорам на оказание услуг по организации и проведению спортивно-массовых, культурно-зрелищных мероприятий, соревнований областного, республиканского и международного масштабов, подготовку и командирование спортсменов, участников на данные соревнования, мероприятия (в части расходов на проезд, проживание, питание, суточные, медико-биологическое обеспечение, оплату взноса на участие в соревнованиях, мероприятиях); оплату командировочных расходов (суточные, проживание) при направлении в служебные командировки; по договорам обязательного страхования гражданской ответственности владельцев транспортных средств; оплату по сделкам,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w:t>
      </w:r>
      <w:bookmarkStart w:id="0" w:name="Par67"/>
      <w:bookmarkEnd w:id="0"/>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Старобелогорского сельсовета Новосергиевского района:</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до 50 процентов суммы договора (муниципального контракта) – на строительство и ремонт автомобильных дорог общего пользования;</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до 30 процентов суммы договора (муниципального контракта), но не более 30 процентов лимитов бюджетных обязательств, доведенных на </w:t>
      </w:r>
      <w:r>
        <w:rPr>
          <w:rFonts w:ascii="Times New Roman" w:hAnsi="Times New Roman"/>
          <w:sz w:val="28"/>
          <w:szCs w:val="28"/>
        </w:rPr>
        <w:lastRenderedPageBreak/>
        <w:t>соответствующий финансовый год, – по остальным договорам (муниципальным контрактам), если иное не предусмотрено законодательством Российской Федерации, Оренбургской области, нормативно-правовыми Старобелогорский сельсовет Новосергиевского района.</w:t>
      </w:r>
    </w:p>
    <w:p w:rsidR="00424BA2" w:rsidRDefault="00424BA2" w:rsidP="00424BA2">
      <w:pPr>
        <w:spacing w:after="0" w:line="240" w:lineRule="auto"/>
        <w:ind w:firstLine="709"/>
        <w:jc w:val="both"/>
        <w:rPr>
          <w:rFonts w:ascii="Times New Roman" w:hAnsi="Times New Roman"/>
          <w:sz w:val="28"/>
          <w:szCs w:val="28"/>
        </w:rPr>
      </w:pPr>
      <w:r>
        <w:rPr>
          <w:rFonts w:ascii="Times New Roman" w:hAnsi="Times New Roman"/>
          <w:sz w:val="28"/>
          <w:szCs w:val="28"/>
        </w:rPr>
        <w:t>10. Провести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Не допускать установление сверхнизких ставок по земельному налогу.</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Контроль за исполнением настоящего постановления оставляю за собой.</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Постановление вступает в силу после его размещения на официальном сайте муниципального образования Старобелогорский сельсовет.</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Т.З.Зайнутдинова</w:t>
      </w: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p>
    <w:p w:rsidR="00424BA2" w:rsidRDefault="00424BA2" w:rsidP="00424B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Разослано: финотделу, орготделу, в дело,  прокурору.</w:t>
      </w:r>
    </w:p>
    <w:p w:rsidR="003E6923" w:rsidRDefault="003E6923">
      <w:bookmarkStart w:id="1" w:name="_GoBack"/>
      <w:bookmarkEnd w:id="1"/>
    </w:p>
    <w:sectPr w:rsidR="003E6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80"/>
    <w:rsid w:val="003E6923"/>
    <w:rsid w:val="00424BA2"/>
    <w:rsid w:val="0058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6DE77-3EE7-4CAC-AC18-468B046F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6767</Characters>
  <Application>Microsoft Office Word</Application>
  <DocSecurity>0</DocSecurity>
  <Lines>56</Lines>
  <Paragraphs>15</Paragraphs>
  <ScaleCrop>false</ScaleCrop>
  <Company>SPecialiST RePack</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2020-02-19T04:09:00Z</dcterms:created>
  <dcterms:modified xsi:type="dcterms:W3CDTF">2020-02-19T04:09:00Z</dcterms:modified>
</cp:coreProperties>
</file>